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AE1" w14:textId="7EBA061C" w:rsidR="007B3603" w:rsidRDefault="007B3603" w:rsidP="007B3603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t>North of England Trampoline Technical Committee</w:t>
      </w:r>
    </w:p>
    <w:p w14:paraId="418966F8" w14:textId="0DBC794A" w:rsidR="007B3603" w:rsidRDefault="007B3603" w:rsidP="007B36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Bid covering letter</w:t>
      </w:r>
    </w:p>
    <w:p w14:paraId="1285BB2A" w14:textId="2F6A0556" w:rsidR="007B3603" w:rsidRDefault="007B3603" w:rsidP="007B3603">
      <w:pPr>
        <w:jc w:val="center"/>
        <w:rPr>
          <w:b/>
          <w:sz w:val="36"/>
          <w:szCs w:val="36"/>
        </w:rPr>
      </w:pPr>
    </w:p>
    <w:p w14:paraId="115B8E3C" w14:textId="1B5F742F" w:rsidR="007B3603" w:rsidRDefault="007B3603" w:rsidP="007B3603">
      <w:pPr>
        <w:rPr>
          <w:bCs/>
        </w:rPr>
      </w:pPr>
      <w:r>
        <w:rPr>
          <w:bCs/>
        </w:rPr>
        <w:t>Th</w:t>
      </w:r>
      <w:r w:rsidR="003F2C5C">
        <w:rPr>
          <w:bCs/>
        </w:rPr>
        <w:t>is year the committee have decided on the following competitions:</w:t>
      </w:r>
    </w:p>
    <w:p w14:paraId="37F8F5F5" w14:textId="10D1C2AB" w:rsidR="003F2C5C" w:rsidRDefault="00A12A22" w:rsidP="007B3603">
      <w:pPr>
        <w:rPr>
          <w:bCs/>
        </w:rPr>
      </w:pPr>
      <w:r>
        <w:rPr>
          <w:bCs/>
        </w:rPr>
        <w:t>Regional and club competition series 1 –</w:t>
      </w:r>
      <w:r w:rsidR="001776B0">
        <w:rPr>
          <w:bCs/>
        </w:rPr>
        <w:t>January</w:t>
      </w:r>
      <w:r>
        <w:rPr>
          <w:bCs/>
        </w:rPr>
        <w:t xml:space="preserve"> 202</w:t>
      </w:r>
      <w:r w:rsidR="001776B0">
        <w:rPr>
          <w:bCs/>
        </w:rPr>
        <w:t>4</w:t>
      </w:r>
    </w:p>
    <w:p w14:paraId="068C30EE" w14:textId="47F00EAA" w:rsidR="00A12A22" w:rsidRDefault="00A12A22" w:rsidP="007B3603">
      <w:pPr>
        <w:rPr>
          <w:bCs/>
        </w:rPr>
      </w:pPr>
      <w:r>
        <w:rPr>
          <w:bCs/>
        </w:rPr>
        <w:t xml:space="preserve">Regional and club competition series 2 – </w:t>
      </w:r>
      <w:r w:rsidR="001776B0">
        <w:rPr>
          <w:bCs/>
        </w:rPr>
        <w:t>February 2024</w:t>
      </w:r>
      <w:r>
        <w:rPr>
          <w:bCs/>
        </w:rPr>
        <w:br/>
        <w:t xml:space="preserve">Regional and club competition series final – </w:t>
      </w:r>
      <w:r w:rsidR="001776B0">
        <w:rPr>
          <w:bCs/>
        </w:rPr>
        <w:t>April 2024</w:t>
      </w:r>
    </w:p>
    <w:p w14:paraId="206CACA4" w14:textId="5C53A16A" w:rsidR="00D81580" w:rsidRDefault="00D81580" w:rsidP="007B3603">
      <w:pPr>
        <w:rPr>
          <w:bCs/>
        </w:rPr>
      </w:pPr>
      <w:r>
        <w:rPr>
          <w:bCs/>
        </w:rPr>
        <w:t xml:space="preserve">Northern </w:t>
      </w:r>
      <w:proofErr w:type="gramStart"/>
      <w:r>
        <w:rPr>
          <w:bCs/>
        </w:rPr>
        <w:t xml:space="preserve">Closed </w:t>
      </w:r>
      <w:r w:rsidR="00ED3755">
        <w:rPr>
          <w:bCs/>
        </w:rPr>
        <w:t xml:space="preserve"> -</w:t>
      </w:r>
      <w:proofErr w:type="gramEnd"/>
      <w:r w:rsidR="00ED3755">
        <w:rPr>
          <w:bCs/>
        </w:rPr>
        <w:t xml:space="preserve"> </w:t>
      </w:r>
      <w:r w:rsidR="006120FC">
        <w:rPr>
          <w:bCs/>
        </w:rPr>
        <w:t>October 202</w:t>
      </w:r>
      <w:r w:rsidR="001776B0">
        <w:rPr>
          <w:bCs/>
        </w:rPr>
        <w:t>4</w:t>
      </w:r>
    </w:p>
    <w:p w14:paraId="21C17A5A" w14:textId="167F822D" w:rsidR="00D83C6B" w:rsidRDefault="00D83C6B" w:rsidP="007B3603">
      <w:pPr>
        <w:rPr>
          <w:bCs/>
        </w:rPr>
      </w:pPr>
    </w:p>
    <w:p w14:paraId="34B1A3A8" w14:textId="06B476C1" w:rsidR="00D83C6B" w:rsidRDefault="00D83C6B" w:rsidP="007B3603">
      <w:pPr>
        <w:rPr>
          <w:bCs/>
        </w:rPr>
      </w:pPr>
      <w:r>
        <w:rPr>
          <w:bCs/>
        </w:rPr>
        <w:t xml:space="preserve">We welcome bids form clubs for all competitions which must be submitted, by email, to </w:t>
      </w:r>
      <w:hyperlink r:id="rId4" w:history="1">
        <w:r w:rsidRPr="004705A8">
          <w:rPr>
            <w:rStyle w:val="Hyperlink"/>
            <w:bCs/>
          </w:rPr>
          <w:t>compeittions@nettc.org.uk</w:t>
        </w:r>
      </w:hyperlink>
      <w:r>
        <w:rPr>
          <w:bCs/>
        </w:rPr>
        <w:t xml:space="preserve"> </w:t>
      </w:r>
      <w:r w:rsidR="002857B7">
        <w:rPr>
          <w:bCs/>
        </w:rPr>
        <w:t xml:space="preserve">no later than </w:t>
      </w:r>
      <w:r w:rsidR="00D81580">
        <w:rPr>
          <w:bCs/>
        </w:rPr>
        <w:t>Saturday</w:t>
      </w:r>
      <w:r w:rsidR="002857B7">
        <w:rPr>
          <w:bCs/>
        </w:rPr>
        <w:t xml:space="preserve"> </w:t>
      </w:r>
      <w:r w:rsidR="001776B0">
        <w:rPr>
          <w:bCs/>
        </w:rPr>
        <w:t>2</w:t>
      </w:r>
      <w:r w:rsidR="001776B0" w:rsidRPr="001776B0">
        <w:rPr>
          <w:bCs/>
          <w:vertAlign w:val="superscript"/>
        </w:rPr>
        <w:t>nd</w:t>
      </w:r>
      <w:r w:rsidR="001776B0">
        <w:rPr>
          <w:bCs/>
        </w:rPr>
        <w:t xml:space="preserve"> September 2023</w:t>
      </w:r>
      <w:r w:rsidR="002857B7">
        <w:rPr>
          <w:bCs/>
        </w:rPr>
        <w:t xml:space="preserve"> for consideration at the committee meeting on </w:t>
      </w:r>
      <w:r w:rsidR="001776B0">
        <w:rPr>
          <w:bCs/>
        </w:rPr>
        <w:t>3</w:t>
      </w:r>
      <w:r w:rsidR="001776B0" w:rsidRPr="001776B0">
        <w:rPr>
          <w:bCs/>
          <w:vertAlign w:val="superscript"/>
        </w:rPr>
        <w:t>rd</w:t>
      </w:r>
      <w:r w:rsidR="001776B0">
        <w:rPr>
          <w:bCs/>
        </w:rPr>
        <w:t xml:space="preserve"> September 2023</w:t>
      </w:r>
      <w:r w:rsidR="002857B7">
        <w:rPr>
          <w:bCs/>
        </w:rPr>
        <w:t>.</w:t>
      </w:r>
    </w:p>
    <w:p w14:paraId="31B53478" w14:textId="0FAAB850" w:rsidR="00764569" w:rsidRDefault="00764569" w:rsidP="007B3603">
      <w:pPr>
        <w:rPr>
          <w:bCs/>
        </w:rPr>
      </w:pPr>
    </w:p>
    <w:p w14:paraId="236D8AF0" w14:textId="4DA96DD1" w:rsidR="00764569" w:rsidRDefault="00764569" w:rsidP="007B3603">
      <w:pPr>
        <w:rPr>
          <w:bCs/>
        </w:rPr>
      </w:pPr>
      <w:r>
        <w:rPr>
          <w:bCs/>
        </w:rPr>
        <w:t>Kind regards</w:t>
      </w:r>
    </w:p>
    <w:p w14:paraId="77E6B733" w14:textId="5AF46442" w:rsidR="00764569" w:rsidRDefault="00764569" w:rsidP="007B3603">
      <w:pPr>
        <w:rPr>
          <w:bCs/>
        </w:rPr>
      </w:pPr>
      <w:r>
        <w:rPr>
          <w:bCs/>
        </w:rPr>
        <w:t>Adam Rear</w:t>
      </w:r>
    </w:p>
    <w:p w14:paraId="6CB71AA8" w14:textId="71C974A0" w:rsidR="00764569" w:rsidRPr="007B3603" w:rsidRDefault="00764569" w:rsidP="007B3603">
      <w:pPr>
        <w:rPr>
          <w:bCs/>
        </w:rPr>
      </w:pPr>
      <w:r>
        <w:rPr>
          <w:bCs/>
        </w:rPr>
        <w:t>NETTC Chairperson</w:t>
      </w:r>
    </w:p>
    <w:p w14:paraId="4F7D375B" w14:textId="77777777" w:rsidR="007B3603" w:rsidRDefault="007B3603" w:rsidP="007004C5">
      <w:pPr>
        <w:jc w:val="center"/>
        <w:rPr>
          <w:b/>
          <w:sz w:val="36"/>
          <w:szCs w:val="36"/>
        </w:rPr>
      </w:pPr>
    </w:p>
    <w:p w14:paraId="12A24C32" w14:textId="77777777" w:rsidR="00764569" w:rsidRDefault="0076456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0478445" w14:textId="588C1F86" w:rsidR="007004C5" w:rsidRPr="007004C5" w:rsidRDefault="007004C5" w:rsidP="007004C5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lastRenderedPageBreak/>
        <w:t>North of England Trampoline Technical Committee</w:t>
      </w:r>
    </w:p>
    <w:p w14:paraId="72AA16E4" w14:textId="16197B09" w:rsidR="00103755" w:rsidRPr="007004C5" w:rsidRDefault="001D79EC" w:rsidP="007004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 Hosting </w:t>
      </w:r>
      <w:r w:rsidR="007004C5" w:rsidRPr="007004C5">
        <w:rPr>
          <w:b/>
          <w:sz w:val="36"/>
          <w:szCs w:val="36"/>
        </w:rPr>
        <w:t>Bid</w:t>
      </w:r>
      <w:r w:rsidR="00CE25F8">
        <w:rPr>
          <w:b/>
          <w:sz w:val="36"/>
          <w:szCs w:val="36"/>
        </w:rPr>
        <w:t xml:space="preserve"> 20</w:t>
      </w:r>
      <w:r w:rsidR="00724948">
        <w:rPr>
          <w:b/>
          <w:sz w:val="36"/>
          <w:szCs w:val="36"/>
        </w:rPr>
        <w:t>2</w:t>
      </w:r>
      <w:r w:rsidR="001776B0">
        <w:rPr>
          <w:b/>
          <w:sz w:val="36"/>
          <w:szCs w:val="36"/>
        </w:rPr>
        <w:t>3</w:t>
      </w:r>
      <w:r w:rsidR="00CE25F8">
        <w:rPr>
          <w:b/>
          <w:sz w:val="36"/>
          <w:szCs w:val="36"/>
        </w:rPr>
        <w:t>-202</w:t>
      </w:r>
      <w:r w:rsidR="001776B0">
        <w:rPr>
          <w:b/>
          <w:sz w:val="36"/>
          <w:szCs w:val="36"/>
        </w:rPr>
        <w:t>4</w:t>
      </w:r>
    </w:p>
    <w:p w14:paraId="023D2224" w14:textId="77777777" w:rsidR="007004C5" w:rsidRDefault="007004C5" w:rsidP="005C6231">
      <w:pPr>
        <w:rPr>
          <w:sz w:val="36"/>
          <w:szCs w:val="36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18"/>
        <w:gridCol w:w="7522"/>
      </w:tblGrid>
      <w:tr w:rsidR="007004C5" w14:paraId="19DEF713" w14:textId="77777777" w:rsidTr="005C6231">
        <w:trPr>
          <w:trHeight w:val="155"/>
        </w:trPr>
        <w:tc>
          <w:tcPr>
            <w:tcW w:w="3218" w:type="dxa"/>
          </w:tcPr>
          <w:p w14:paraId="7E53758C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Event:</w:t>
            </w:r>
          </w:p>
        </w:tc>
        <w:tc>
          <w:tcPr>
            <w:tcW w:w="7522" w:type="dxa"/>
          </w:tcPr>
          <w:p w14:paraId="62D17E16" w14:textId="52F20143" w:rsidR="007004C5" w:rsidRPr="005234A5" w:rsidRDefault="007004C5" w:rsidP="007004C5">
            <w:pPr>
              <w:rPr>
                <w:sz w:val="28"/>
                <w:szCs w:val="28"/>
              </w:rPr>
            </w:pPr>
          </w:p>
        </w:tc>
      </w:tr>
      <w:tr w:rsidR="007004C5" w14:paraId="4B0C3D2D" w14:textId="77777777" w:rsidTr="005C6231">
        <w:tc>
          <w:tcPr>
            <w:tcW w:w="3218" w:type="dxa"/>
          </w:tcPr>
          <w:p w14:paraId="19B948A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Date:</w:t>
            </w:r>
          </w:p>
        </w:tc>
        <w:tc>
          <w:tcPr>
            <w:tcW w:w="7522" w:type="dxa"/>
          </w:tcPr>
          <w:p w14:paraId="742503B5" w14:textId="29274FCB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7004C5" w14:paraId="0E938B00" w14:textId="77777777" w:rsidTr="005C6231">
        <w:tc>
          <w:tcPr>
            <w:tcW w:w="3218" w:type="dxa"/>
          </w:tcPr>
          <w:p w14:paraId="2F93BC1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Venue:</w:t>
            </w:r>
          </w:p>
        </w:tc>
        <w:tc>
          <w:tcPr>
            <w:tcW w:w="7522" w:type="dxa"/>
          </w:tcPr>
          <w:p w14:paraId="51A3A8E7" w14:textId="642CDA2A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E35B55" w14:paraId="4975A505" w14:textId="77777777" w:rsidTr="005C6231">
        <w:tc>
          <w:tcPr>
            <w:tcW w:w="3218" w:type="dxa"/>
          </w:tcPr>
          <w:p w14:paraId="4136EB3D" w14:textId="2B86E2D1" w:rsidR="00E35B55" w:rsidRPr="005234A5" w:rsidRDefault="002F3630" w:rsidP="005C6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Earliest possible start and latest possible finish time:</w:t>
            </w:r>
          </w:p>
        </w:tc>
        <w:tc>
          <w:tcPr>
            <w:tcW w:w="7522" w:type="dxa"/>
          </w:tcPr>
          <w:p w14:paraId="72EB5701" w14:textId="77777777" w:rsidR="00E35B55" w:rsidRPr="005234A5" w:rsidRDefault="00E35B55" w:rsidP="00CF23A8">
            <w:pPr>
              <w:rPr>
                <w:sz w:val="28"/>
                <w:szCs w:val="28"/>
              </w:rPr>
            </w:pPr>
          </w:p>
        </w:tc>
      </w:tr>
      <w:tr w:rsidR="007004C5" w14:paraId="2E7B48CE" w14:textId="77777777" w:rsidTr="005C6231">
        <w:tc>
          <w:tcPr>
            <w:tcW w:w="3218" w:type="dxa"/>
          </w:tcPr>
          <w:p w14:paraId="4D4833C0" w14:textId="77777777" w:rsidR="007004C5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Hall size</w:t>
            </w:r>
            <w:r w:rsidR="007004C5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65F621CB" w14:textId="45C2268D" w:rsidR="007004C5" w:rsidRPr="005234A5" w:rsidRDefault="00517935" w:rsidP="00CF23A8">
            <w:pPr>
              <w:rPr>
                <w:i/>
                <w:iCs/>
                <w:sz w:val="28"/>
                <w:szCs w:val="28"/>
              </w:rPr>
            </w:pPr>
            <w:r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>All competitions require sufficient space to host DMT</w:t>
            </w:r>
            <w:r w:rsidR="004577C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 &amp; trampolining.</w:t>
            </w:r>
          </w:p>
        </w:tc>
      </w:tr>
      <w:tr w:rsidR="007004C5" w14:paraId="05FAB95D" w14:textId="77777777" w:rsidTr="005C6231">
        <w:tc>
          <w:tcPr>
            <w:tcW w:w="3218" w:type="dxa"/>
          </w:tcPr>
          <w:p w14:paraId="4AA4DB6E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Trampolines available:</w:t>
            </w:r>
          </w:p>
        </w:tc>
        <w:tc>
          <w:tcPr>
            <w:tcW w:w="7522" w:type="dxa"/>
          </w:tcPr>
          <w:p w14:paraId="3182E793" w14:textId="1210931D" w:rsidR="00CF23A8" w:rsidRPr="005234A5" w:rsidRDefault="001776B0" w:rsidP="00CF23A8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>
              <w:rPr>
                <w:i/>
                <w:iCs/>
                <w:color w:val="A6A6A6" w:themeColor="background1" w:themeShade="A6"/>
                <w:sz w:val="28"/>
                <w:szCs w:val="28"/>
              </w:rPr>
              <w:t>Manufacturers of frame, spring set and size of web required.</w:t>
            </w:r>
          </w:p>
        </w:tc>
      </w:tr>
      <w:tr w:rsidR="007004C5" w14:paraId="639EB5C9" w14:textId="77777777" w:rsidTr="005C6231">
        <w:tc>
          <w:tcPr>
            <w:tcW w:w="3218" w:type="dxa"/>
          </w:tcPr>
          <w:p w14:paraId="7EA5D8C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DMT &amp; landing zone available</w:t>
            </w:r>
            <w:r w:rsidR="005C6231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3B7A731B" w14:textId="6228CCAA" w:rsidR="007004C5" w:rsidRPr="005234A5" w:rsidRDefault="00F00C72" w:rsidP="00CF23A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A6A6A6" w:themeColor="background1" w:themeShade="A6"/>
                <w:sz w:val="28"/>
                <w:szCs w:val="28"/>
              </w:rPr>
              <w:t>I</w:t>
            </w:r>
            <w:r w:rsidR="003E2CA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f </w:t>
            </w:r>
            <w:proofErr w:type="gramStart"/>
            <w:r w:rsidR="003E2CA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>not</w:t>
            </w:r>
            <w:proofErr w:type="gramEnd"/>
            <w:r w:rsidR="003E2CA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 available it must be sourced &amp; transported.</w:t>
            </w:r>
          </w:p>
        </w:tc>
      </w:tr>
      <w:tr w:rsidR="005C6231" w14:paraId="66588394" w14:textId="77777777" w:rsidTr="005C6231">
        <w:tc>
          <w:tcPr>
            <w:tcW w:w="3218" w:type="dxa"/>
          </w:tcPr>
          <w:p w14:paraId="5AB0DE33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Will you be arranging catering for the judges &amp; officials?</w:t>
            </w:r>
          </w:p>
        </w:tc>
        <w:tc>
          <w:tcPr>
            <w:tcW w:w="7522" w:type="dxa"/>
          </w:tcPr>
          <w:p w14:paraId="4E491FDF" w14:textId="799E64AF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7004C5" w14:paraId="74BA574C" w14:textId="77777777" w:rsidTr="005C6231">
        <w:tc>
          <w:tcPr>
            <w:tcW w:w="3218" w:type="dxa"/>
          </w:tcPr>
          <w:p w14:paraId="6CBCAF3C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Food available to spectators:</w:t>
            </w:r>
          </w:p>
        </w:tc>
        <w:tc>
          <w:tcPr>
            <w:tcW w:w="7522" w:type="dxa"/>
          </w:tcPr>
          <w:p w14:paraId="1D9B9546" w14:textId="4C899066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7004C5" w14:paraId="7D826378" w14:textId="77777777" w:rsidTr="005C6231">
        <w:tc>
          <w:tcPr>
            <w:tcW w:w="3218" w:type="dxa"/>
          </w:tcPr>
          <w:p w14:paraId="2BB3F9A5" w14:textId="77777777" w:rsidR="007004C5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Spectator c</w:t>
            </w:r>
            <w:r w:rsidR="007004C5" w:rsidRPr="005234A5">
              <w:rPr>
                <w:sz w:val="28"/>
                <w:szCs w:val="28"/>
              </w:rPr>
              <w:t xml:space="preserve">apacity </w:t>
            </w:r>
            <w:r w:rsidRPr="005234A5">
              <w:rPr>
                <w:sz w:val="28"/>
                <w:szCs w:val="28"/>
              </w:rPr>
              <w:t>and seating arrangements</w:t>
            </w:r>
            <w:r w:rsidR="007004C5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327CEC4F" w14:textId="54757896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5C6231" w14:paraId="0D3421A3" w14:textId="77777777" w:rsidTr="005C6231">
        <w:tc>
          <w:tcPr>
            <w:tcW w:w="3218" w:type="dxa"/>
          </w:tcPr>
          <w:p w14:paraId="0E2EEB75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Parking facilities:</w:t>
            </w:r>
          </w:p>
        </w:tc>
        <w:tc>
          <w:tcPr>
            <w:tcW w:w="7522" w:type="dxa"/>
          </w:tcPr>
          <w:p w14:paraId="390B9A88" w14:textId="09795BE7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7004C5" w14:paraId="1B43C668" w14:textId="77777777" w:rsidTr="005C6231">
        <w:tc>
          <w:tcPr>
            <w:tcW w:w="3218" w:type="dxa"/>
          </w:tcPr>
          <w:p w14:paraId="23FB0F9B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 xml:space="preserve">Setup/De-rig arrangements: </w:t>
            </w:r>
          </w:p>
        </w:tc>
        <w:tc>
          <w:tcPr>
            <w:tcW w:w="7522" w:type="dxa"/>
          </w:tcPr>
          <w:p w14:paraId="71927948" w14:textId="0FC75C5A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5C6231" w14:paraId="791FB558" w14:textId="77777777" w:rsidTr="005C6231">
        <w:tc>
          <w:tcPr>
            <w:tcW w:w="3218" w:type="dxa"/>
          </w:tcPr>
          <w:p w14:paraId="121F3204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Fund raising:</w:t>
            </w:r>
          </w:p>
        </w:tc>
        <w:tc>
          <w:tcPr>
            <w:tcW w:w="7522" w:type="dxa"/>
          </w:tcPr>
          <w:p w14:paraId="51CE79B3" w14:textId="6E2E9B58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C63B79" w14:paraId="4EEB9404" w14:textId="77777777" w:rsidTr="005C6231">
        <w:tc>
          <w:tcPr>
            <w:tcW w:w="3218" w:type="dxa"/>
          </w:tcPr>
          <w:p w14:paraId="6673984F" w14:textId="206F297C" w:rsidR="00C63B79" w:rsidRPr="005234A5" w:rsidRDefault="003F4628" w:rsidP="005C6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Venue cancellation</w:t>
            </w:r>
            <w:r w:rsidR="00C63B79" w:rsidRPr="005234A5">
              <w:rPr>
                <w:sz w:val="28"/>
                <w:szCs w:val="28"/>
              </w:rPr>
              <w:t xml:space="preserve"> policy</w:t>
            </w:r>
          </w:p>
        </w:tc>
        <w:tc>
          <w:tcPr>
            <w:tcW w:w="7522" w:type="dxa"/>
          </w:tcPr>
          <w:p w14:paraId="7BA6F400" w14:textId="77777777" w:rsidR="00C63B79" w:rsidRPr="005234A5" w:rsidRDefault="00C63B79" w:rsidP="00CF23A8">
            <w:pPr>
              <w:rPr>
                <w:sz w:val="28"/>
                <w:szCs w:val="28"/>
              </w:rPr>
            </w:pPr>
          </w:p>
        </w:tc>
      </w:tr>
    </w:tbl>
    <w:p w14:paraId="507CF1B2" w14:textId="3E856C98" w:rsidR="007004C5" w:rsidRPr="00C63B79" w:rsidRDefault="005C6231" w:rsidP="007004C5">
      <w:pPr>
        <w:jc w:val="center"/>
      </w:pPr>
      <w:r w:rsidRPr="00C63B79">
        <w:t>Please note that hosts are prevented from charging a spectator fee.</w:t>
      </w:r>
    </w:p>
    <w:p w14:paraId="450C2F23" w14:textId="1206BAF4" w:rsidR="00C13D11" w:rsidRPr="00C63B79" w:rsidRDefault="00C13D11" w:rsidP="007004C5">
      <w:pPr>
        <w:jc w:val="center"/>
      </w:pPr>
      <w:r w:rsidRPr="00C63B79">
        <w:t xml:space="preserve">Hosts should expect competitions in which all events (trampoline &amp; DMT) can run </w:t>
      </w:r>
      <w:r w:rsidR="000A53B1" w:rsidRPr="00C63B79">
        <w:t>simultaneously</w:t>
      </w:r>
      <w:r w:rsidRPr="00C63B79">
        <w:t xml:space="preserve"> to last </w:t>
      </w:r>
      <w:r w:rsidR="002F3630">
        <w:t>up to</w:t>
      </w:r>
      <w:r w:rsidR="000A53B1" w:rsidRPr="00C63B79">
        <w:t xml:space="preserve"> </w:t>
      </w:r>
      <w:r w:rsidR="007A6FB0" w:rsidRPr="00C63B79">
        <w:t>8</w:t>
      </w:r>
      <w:r w:rsidR="000A53B1" w:rsidRPr="00C63B79">
        <w:t xml:space="preserve"> hours</w:t>
      </w:r>
      <w:r w:rsidR="0008314A" w:rsidRPr="00C63B79">
        <w:t>.</w:t>
      </w:r>
    </w:p>
    <w:p w14:paraId="645115E6" w14:textId="30CB8D05" w:rsidR="0023774D" w:rsidRPr="00C63B79" w:rsidRDefault="00A827FA" w:rsidP="007004C5">
      <w:pPr>
        <w:jc w:val="center"/>
      </w:pPr>
      <w:r w:rsidRPr="00C63B79">
        <w:t xml:space="preserve">All bids </w:t>
      </w:r>
      <w:r w:rsidRPr="00117846">
        <w:rPr>
          <w:b/>
          <w:bCs/>
        </w:rPr>
        <w:t>MUST</w:t>
      </w:r>
      <w:r w:rsidRPr="00C63B79">
        <w:t xml:space="preserve"> include any </w:t>
      </w:r>
      <w:r w:rsidR="0071177F" w:rsidRPr="00C63B79">
        <w:t>equipment</w:t>
      </w:r>
      <w:r w:rsidRPr="00C63B79">
        <w:t xml:space="preserve"> hire and transport that is required</w:t>
      </w:r>
      <w:r w:rsidR="0071177F" w:rsidRPr="00C63B79">
        <w:t>.</w:t>
      </w:r>
      <w:r w:rsidR="00D45C5F" w:rsidRPr="00C63B79">
        <w:t xml:space="preserve"> If there is no equipment hire or transport write n/a in that box. </w:t>
      </w:r>
      <w:r w:rsidR="00151799" w:rsidRPr="00C63B79">
        <w:t>Leaving the box blank will void the bid.</w:t>
      </w:r>
    </w:p>
    <w:p w14:paraId="0F319C97" w14:textId="77777777" w:rsidR="0071177F" w:rsidRPr="005234A5" w:rsidRDefault="0071177F" w:rsidP="007004C5">
      <w:pPr>
        <w:jc w:val="center"/>
        <w:rPr>
          <w:sz w:val="22"/>
          <w:szCs w:val="22"/>
        </w:rPr>
      </w:pPr>
    </w:p>
    <w:p w14:paraId="15C20966" w14:textId="77777777" w:rsidR="007004C5" w:rsidRPr="005C6231" w:rsidRDefault="005C6231" w:rsidP="007004C5">
      <w:pPr>
        <w:jc w:val="center"/>
        <w:rPr>
          <w:b/>
          <w:sz w:val="36"/>
          <w:szCs w:val="36"/>
        </w:rPr>
      </w:pPr>
      <w:r w:rsidRPr="005C6231">
        <w:rPr>
          <w:b/>
          <w:sz w:val="36"/>
          <w:szCs w:val="36"/>
        </w:rPr>
        <w:t>Costing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5"/>
        <w:gridCol w:w="5165"/>
      </w:tblGrid>
      <w:tr w:rsidR="007004C5" w14:paraId="42190DD3" w14:textId="77777777" w:rsidTr="001776B0">
        <w:tc>
          <w:tcPr>
            <w:tcW w:w="5285" w:type="dxa"/>
          </w:tcPr>
          <w:p w14:paraId="4FEF56A9" w14:textId="77777777" w:rsidR="007004C5" w:rsidRPr="005C6231" w:rsidRDefault="005C6231" w:rsidP="007004C5">
            <w:pPr>
              <w:jc w:val="center"/>
              <w:rPr>
                <w:sz w:val="36"/>
                <w:szCs w:val="36"/>
              </w:rPr>
            </w:pPr>
            <w:r w:rsidRPr="005C6231">
              <w:rPr>
                <w:sz w:val="36"/>
                <w:szCs w:val="36"/>
              </w:rPr>
              <w:t>Hall h</w:t>
            </w:r>
            <w:r w:rsidR="007004C5" w:rsidRPr="005C6231">
              <w:rPr>
                <w:sz w:val="36"/>
                <w:szCs w:val="36"/>
              </w:rPr>
              <w:t>ire</w:t>
            </w:r>
          </w:p>
        </w:tc>
        <w:tc>
          <w:tcPr>
            <w:tcW w:w="5165" w:type="dxa"/>
          </w:tcPr>
          <w:p w14:paraId="2BDC6B9C" w14:textId="29545ACC" w:rsidR="007004C5" w:rsidRPr="00CF23A8" w:rsidRDefault="007004C5" w:rsidP="00CF23A8">
            <w:pPr>
              <w:rPr>
                <w:sz w:val="36"/>
                <w:szCs w:val="36"/>
              </w:rPr>
            </w:pPr>
          </w:p>
        </w:tc>
      </w:tr>
      <w:tr w:rsidR="007004C5" w14:paraId="65113386" w14:textId="77777777" w:rsidTr="001776B0">
        <w:tc>
          <w:tcPr>
            <w:tcW w:w="5285" w:type="dxa"/>
          </w:tcPr>
          <w:p w14:paraId="56341C6F" w14:textId="43C9CBD4" w:rsidR="007004C5" w:rsidRPr="005C6231" w:rsidRDefault="00173614" w:rsidP="005C62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hire</w:t>
            </w:r>
          </w:p>
        </w:tc>
        <w:tc>
          <w:tcPr>
            <w:tcW w:w="5165" w:type="dxa"/>
          </w:tcPr>
          <w:p w14:paraId="2833C4CA" w14:textId="2F9D67F9" w:rsidR="007004C5" w:rsidRPr="00065878" w:rsidRDefault="007004C5" w:rsidP="00065878">
            <w:pPr>
              <w:rPr>
                <w:sz w:val="36"/>
                <w:szCs w:val="36"/>
              </w:rPr>
            </w:pPr>
          </w:p>
        </w:tc>
      </w:tr>
      <w:tr w:rsidR="007004C5" w14:paraId="296ADDF2" w14:textId="77777777" w:rsidTr="001776B0">
        <w:tc>
          <w:tcPr>
            <w:tcW w:w="5285" w:type="dxa"/>
          </w:tcPr>
          <w:p w14:paraId="5FF29A15" w14:textId="6CE385B9" w:rsidR="007004C5" w:rsidRPr="005C6231" w:rsidRDefault="00173614" w:rsidP="007004C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transport</w:t>
            </w:r>
          </w:p>
        </w:tc>
        <w:tc>
          <w:tcPr>
            <w:tcW w:w="5165" w:type="dxa"/>
          </w:tcPr>
          <w:p w14:paraId="790E01E0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004C5" w14:paraId="55BC615E" w14:textId="77777777" w:rsidTr="001776B0">
        <w:tc>
          <w:tcPr>
            <w:tcW w:w="5285" w:type="dxa"/>
          </w:tcPr>
          <w:p w14:paraId="03D1523A" w14:textId="068CE234" w:rsidR="007004C5" w:rsidRPr="005C6231" w:rsidRDefault="00173614" w:rsidP="007004C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Catering/refreshments</w:t>
            </w:r>
          </w:p>
        </w:tc>
        <w:tc>
          <w:tcPr>
            <w:tcW w:w="5165" w:type="dxa"/>
          </w:tcPr>
          <w:p w14:paraId="104C2F39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004C5" w14:paraId="08683552" w14:textId="77777777" w:rsidTr="001776B0">
        <w:tc>
          <w:tcPr>
            <w:tcW w:w="5285" w:type="dxa"/>
          </w:tcPr>
          <w:p w14:paraId="36F02DD0" w14:textId="77777777" w:rsidR="007004C5" w:rsidRPr="005C6231" w:rsidRDefault="0023774D" w:rsidP="007004C5">
            <w:pPr>
              <w:jc w:val="center"/>
              <w:rPr>
                <w:sz w:val="36"/>
                <w:szCs w:val="36"/>
              </w:rPr>
            </w:pPr>
            <w:r>
              <w:rPr>
                <w:color w:val="BFBFBF" w:themeColor="background1" w:themeShade="BF"/>
                <w:sz w:val="32"/>
                <w:szCs w:val="32"/>
              </w:rPr>
              <w:t>Other costs</w:t>
            </w:r>
          </w:p>
        </w:tc>
        <w:tc>
          <w:tcPr>
            <w:tcW w:w="5165" w:type="dxa"/>
          </w:tcPr>
          <w:p w14:paraId="371A5629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p w14:paraId="20D236C6" w14:textId="30363E1C" w:rsidR="007004C5" w:rsidRDefault="001776B0" w:rsidP="007004C5">
      <w:pPr>
        <w:jc w:val="center"/>
      </w:pPr>
      <w:r>
        <w:t xml:space="preserve">By signing this </w:t>
      </w:r>
      <w:proofErr w:type="gramStart"/>
      <w:r>
        <w:t>form</w:t>
      </w:r>
      <w:proofErr w:type="gramEnd"/>
      <w:r>
        <w:t xml:space="preserve"> the club commits to maintaining the pricing provided above</w:t>
      </w:r>
      <w:r w:rsidRPr="00C63B79">
        <w:t>.</w:t>
      </w:r>
      <w:r>
        <w:t xml:space="preserve"> Should costs exceed the amounts above the club agrees to make up the shortfall themselves so that no further costs are incurred by NETTC.</w:t>
      </w:r>
    </w:p>
    <w:p w14:paraId="29B7FA63" w14:textId="77777777" w:rsidR="001776B0" w:rsidRDefault="001776B0" w:rsidP="007004C5">
      <w:pPr>
        <w:jc w:val="center"/>
        <w:rPr>
          <w:sz w:val="36"/>
          <w:szCs w:val="36"/>
          <w:u w:val="single"/>
        </w:rPr>
      </w:pPr>
    </w:p>
    <w:p w14:paraId="3B8C154F" w14:textId="5AA3967A" w:rsidR="001D79EC" w:rsidRPr="001D79EC" w:rsidRDefault="001D79EC" w:rsidP="007004C5">
      <w:pPr>
        <w:jc w:val="center"/>
        <w:rPr>
          <w:sz w:val="36"/>
          <w:szCs w:val="36"/>
        </w:rPr>
      </w:pPr>
      <w:r w:rsidRPr="001D79EC">
        <w:rPr>
          <w:sz w:val="36"/>
          <w:szCs w:val="36"/>
        </w:rPr>
        <w:t>Form completed by:</w:t>
      </w:r>
      <w:r w:rsidR="00065878">
        <w:rPr>
          <w:sz w:val="36"/>
          <w:szCs w:val="36"/>
        </w:rPr>
        <w:t xml:space="preserve"> </w:t>
      </w:r>
      <w:r w:rsidR="00173614">
        <w:rPr>
          <w:sz w:val="36"/>
          <w:szCs w:val="36"/>
        </w:rPr>
        <w:t>…………</w:t>
      </w:r>
      <w:r w:rsidR="001776B0">
        <w:rPr>
          <w:sz w:val="36"/>
          <w:szCs w:val="36"/>
        </w:rPr>
        <w:t>….</w:t>
      </w:r>
      <w:r w:rsidR="00173614">
        <w:rPr>
          <w:sz w:val="36"/>
          <w:szCs w:val="36"/>
        </w:rPr>
        <w:t>….</w:t>
      </w:r>
      <w:r w:rsidR="00065878">
        <w:rPr>
          <w:sz w:val="36"/>
          <w:szCs w:val="36"/>
        </w:rPr>
        <w:tab/>
      </w:r>
      <w:r w:rsidRPr="001D79EC">
        <w:rPr>
          <w:sz w:val="36"/>
          <w:szCs w:val="36"/>
        </w:rPr>
        <w:t xml:space="preserve"> Position in club:</w:t>
      </w:r>
      <w:r w:rsidR="00065878">
        <w:rPr>
          <w:sz w:val="36"/>
          <w:szCs w:val="36"/>
        </w:rPr>
        <w:t xml:space="preserve"> </w:t>
      </w:r>
      <w:r w:rsidR="00173614">
        <w:rPr>
          <w:sz w:val="36"/>
          <w:szCs w:val="36"/>
        </w:rPr>
        <w:t>…………</w:t>
      </w:r>
      <w:proofErr w:type="gramStart"/>
      <w:r w:rsidR="00173614">
        <w:rPr>
          <w:sz w:val="36"/>
          <w:szCs w:val="36"/>
        </w:rPr>
        <w:t>…..</w:t>
      </w:r>
      <w:proofErr w:type="gramEnd"/>
    </w:p>
    <w:sectPr w:rsidR="001D79EC" w:rsidRPr="001D79EC" w:rsidSect="007004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C5"/>
    <w:rsid w:val="00007DF2"/>
    <w:rsid w:val="00062542"/>
    <w:rsid w:val="00065878"/>
    <w:rsid w:val="0008314A"/>
    <w:rsid w:val="00083641"/>
    <w:rsid w:val="000A53B1"/>
    <w:rsid w:val="000E6EEB"/>
    <w:rsid w:val="00103755"/>
    <w:rsid w:val="00117846"/>
    <w:rsid w:val="00151799"/>
    <w:rsid w:val="00167D78"/>
    <w:rsid w:val="00173614"/>
    <w:rsid w:val="001776B0"/>
    <w:rsid w:val="001D79EC"/>
    <w:rsid w:val="0023774D"/>
    <w:rsid w:val="002463BF"/>
    <w:rsid w:val="002623DA"/>
    <w:rsid w:val="00266A17"/>
    <w:rsid w:val="002857B7"/>
    <w:rsid w:val="002F3630"/>
    <w:rsid w:val="00312906"/>
    <w:rsid w:val="003A110A"/>
    <w:rsid w:val="003E2CA4"/>
    <w:rsid w:val="003F2C5C"/>
    <w:rsid w:val="003F4628"/>
    <w:rsid w:val="004577C4"/>
    <w:rsid w:val="00492C43"/>
    <w:rsid w:val="00517935"/>
    <w:rsid w:val="005234A5"/>
    <w:rsid w:val="00561A5D"/>
    <w:rsid w:val="00577DD1"/>
    <w:rsid w:val="00584958"/>
    <w:rsid w:val="005A15B9"/>
    <w:rsid w:val="005C6231"/>
    <w:rsid w:val="006120FC"/>
    <w:rsid w:val="00634A1C"/>
    <w:rsid w:val="00661238"/>
    <w:rsid w:val="00674640"/>
    <w:rsid w:val="006A3252"/>
    <w:rsid w:val="006E03E9"/>
    <w:rsid w:val="007004C5"/>
    <w:rsid w:val="0071177F"/>
    <w:rsid w:val="00724948"/>
    <w:rsid w:val="00737A84"/>
    <w:rsid w:val="00764569"/>
    <w:rsid w:val="007A6FB0"/>
    <w:rsid w:val="007B3603"/>
    <w:rsid w:val="008B572D"/>
    <w:rsid w:val="00961D8F"/>
    <w:rsid w:val="009A36E5"/>
    <w:rsid w:val="009E0C7A"/>
    <w:rsid w:val="00A11451"/>
    <w:rsid w:val="00A12A22"/>
    <w:rsid w:val="00A66C1F"/>
    <w:rsid w:val="00A827FA"/>
    <w:rsid w:val="00C13D11"/>
    <w:rsid w:val="00C2568B"/>
    <w:rsid w:val="00C63B79"/>
    <w:rsid w:val="00C97F1E"/>
    <w:rsid w:val="00CA79AE"/>
    <w:rsid w:val="00CD1A11"/>
    <w:rsid w:val="00CE25F8"/>
    <w:rsid w:val="00CF23A8"/>
    <w:rsid w:val="00D2560B"/>
    <w:rsid w:val="00D329B9"/>
    <w:rsid w:val="00D45C5F"/>
    <w:rsid w:val="00D81580"/>
    <w:rsid w:val="00D83C6B"/>
    <w:rsid w:val="00E35B55"/>
    <w:rsid w:val="00E84D2D"/>
    <w:rsid w:val="00ED3755"/>
    <w:rsid w:val="00F00C72"/>
    <w:rsid w:val="00F019C3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A3E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ittions@net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Rear</dc:creator>
  <cp:keywords/>
  <dc:description/>
  <cp:lastModifiedBy>Adam Rear</cp:lastModifiedBy>
  <cp:revision>3</cp:revision>
  <cp:lastPrinted>2019-07-06T09:35:00Z</cp:lastPrinted>
  <dcterms:created xsi:type="dcterms:W3CDTF">2023-08-20T22:53:00Z</dcterms:created>
  <dcterms:modified xsi:type="dcterms:W3CDTF">2023-08-20T23:01:00Z</dcterms:modified>
</cp:coreProperties>
</file>